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8" w:hanging="2711" w:hangingChars="750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神经病学教研室课程考试大纲</w:t>
      </w:r>
    </w:p>
    <w:p>
      <w:pPr>
        <w:spacing w:line="360" w:lineRule="auto"/>
        <w:ind w:left="2108" w:hanging="2409" w:hangingChars="75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目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录：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神经病学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》适用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运动康复、康复治疗学专业</w:t>
      </w:r>
      <w:r>
        <w:rPr>
          <w:rFonts w:hint="eastAsia" w:asciiTheme="minorEastAsia" w:hAnsiTheme="minorEastAsia" w:eastAsiaTheme="minorEastAsia"/>
          <w:sz w:val="28"/>
          <w:szCs w:val="28"/>
        </w:rPr>
        <w:t>…………………………………1</w:t>
      </w:r>
    </w:p>
    <w:p>
      <w:pPr>
        <w:spacing w:line="360" w:lineRule="auto"/>
        <w:rPr>
          <w:rFonts w:hint="eastAsia" w:asciiTheme="minorHAnsi" w:hAnsiTheme="minorHAnsi" w:eastAsiaTheme="minorEastAsia" w:cstheme="minorBidi"/>
          <w:b/>
          <w:sz w:val="28"/>
          <w:szCs w:val="28"/>
        </w:rPr>
      </w:pPr>
    </w:p>
    <w:p>
      <w:pPr>
        <w:spacing w:line="360" w:lineRule="auto"/>
        <w:rPr>
          <w:rFonts w:hint="eastAsia" w:asciiTheme="minorHAnsi" w:hAnsiTheme="minorHAnsi" w:eastAsiaTheme="minorEastAsia" w:cstheme="minorBidi"/>
          <w:b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ascii="黑体" w:hAnsi="黑体" w:eastAsia="黑体" w:cstheme="minorBidi"/>
          <w:b/>
          <w:sz w:val="44"/>
          <w:szCs w:val="44"/>
        </w:rPr>
      </w:pPr>
      <w:r>
        <w:rPr>
          <w:rFonts w:hint="eastAsia" w:ascii="黑体" w:hAnsi="黑体" w:eastAsia="黑体" w:cstheme="minorBidi"/>
          <w:b/>
          <w:sz w:val="44"/>
          <w:szCs w:val="44"/>
        </w:rPr>
        <w:t>《</w:t>
      </w:r>
      <w:r>
        <w:rPr>
          <w:rFonts w:hint="eastAsia" w:ascii="黑体" w:hAnsi="黑体" w:eastAsia="黑体" w:cstheme="minorBidi"/>
          <w:b/>
          <w:sz w:val="44"/>
          <w:szCs w:val="44"/>
          <w:lang w:val="en-US" w:eastAsia="zh-CN"/>
        </w:rPr>
        <w:t>神经病学</w:t>
      </w:r>
      <w:r>
        <w:rPr>
          <w:rFonts w:hint="eastAsia" w:ascii="黑体" w:hAnsi="黑体" w:eastAsia="黑体" w:cstheme="minorBidi"/>
          <w:b/>
          <w:sz w:val="44"/>
          <w:szCs w:val="44"/>
        </w:rPr>
        <w:t>》考试大纲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课程性质：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专业必修</w:t>
      </w:r>
    </w:p>
    <w:p>
      <w:pPr>
        <w:spacing w:line="360" w:lineRule="auto"/>
        <w:rPr>
          <w:rFonts w:ascii="黑体" w:hAnsi="宋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适用专业：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运动康复、康复治疗学专业</w:t>
      </w:r>
    </w:p>
    <w:p>
      <w:pPr>
        <w:spacing w:line="360" w:lineRule="auto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教学时数：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总学时：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（理论：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学时，实践：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学时）     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课程学分：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6.5</w:t>
      </w:r>
    </w:p>
    <w:p>
      <w:pPr>
        <w:spacing w:line="360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开课学期：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第一学期</w:t>
      </w:r>
    </w:p>
    <w:p>
      <w:pPr>
        <w:spacing w:line="360" w:lineRule="auto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考核方式：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闭卷考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试</w:t>
      </w:r>
    </w:p>
    <w:p>
      <w:pPr>
        <w:spacing w:line="360" w:lineRule="auto"/>
        <w:rPr>
          <w:rFonts w:hint="default" w:ascii="宋体" w:hAnsi="宋体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教材：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神经病学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贾建平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编，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人民卫生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，第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版，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:2018年</w:t>
      </w:r>
    </w:p>
    <w:p>
      <w:pPr>
        <w:spacing w:line="360" w:lineRule="auto"/>
        <w:rPr>
          <w:rFonts w:hint="default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参考书目：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神经病学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吴江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编，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人民卫生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，第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版，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:2016年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inorBidi"/>
          <w:b/>
          <w:sz w:val="24"/>
        </w:rPr>
      </w:pPr>
    </w:p>
    <w:p>
      <w:pPr>
        <w:spacing w:line="360" w:lineRule="auto"/>
        <w:ind w:firstLine="482" w:firstLineChars="200"/>
        <w:rPr>
          <w:rFonts w:asciiTheme="minorHAnsi" w:hAnsiTheme="minorHAnsi" w:eastAsiaTheme="minorEastAsia" w:cstheme="minorBidi"/>
          <w:b/>
          <w:szCs w:val="21"/>
        </w:rPr>
      </w:pPr>
      <w:r>
        <w:rPr>
          <w:rFonts w:hint="eastAsia" w:asciiTheme="majorEastAsia" w:hAnsiTheme="majorEastAsia" w:eastAsiaTheme="majorEastAsia" w:cstheme="minorBidi"/>
          <w:b/>
          <w:sz w:val="24"/>
        </w:rPr>
        <w:t>一、考核目标</w:t>
      </w:r>
    </w:p>
    <w:p>
      <w:pPr>
        <w:spacing w:line="360" w:lineRule="auto"/>
        <w:ind w:firstLine="420" w:firstLineChars="200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学生通过本课程的学习，</w:t>
      </w:r>
      <w:r>
        <w:rPr>
          <w:rFonts w:hAnsi="Verdan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掌握神经</w:t>
      </w:r>
      <w:r>
        <w:rPr>
          <w:rFonts w:hint="eastAsia" w:hAnsi="Verdan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内科</w:t>
      </w:r>
      <w:r>
        <w:rPr>
          <w:rFonts w:hAnsi="Verdan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常见病、多发病的诊断方法和防治手段，学会神经病学中</w:t>
      </w:r>
      <w:r>
        <w:rPr>
          <w:rFonts w:hint="eastAsia" w:hAnsi="Verdan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Ansi="Verdan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定位和</w:t>
      </w:r>
      <w:r>
        <w:rPr>
          <w:rFonts w:hAnsi="Verdana"/>
          <w:color w:val="auto"/>
          <w:kern w:val="0"/>
          <w:szCs w:val="21"/>
        </w:rPr>
        <w:t>定性诊断的临床思维方法</w:t>
      </w:r>
      <w:r>
        <w:rPr>
          <w:rFonts w:hint="eastAsia" w:hAnsi="Verdana"/>
          <w:color w:val="auto"/>
          <w:kern w:val="0"/>
          <w:szCs w:val="21"/>
        </w:rPr>
        <w:t>；</w:t>
      </w:r>
      <w:r>
        <w:rPr>
          <w:rFonts w:hAnsi="Verdana"/>
          <w:color w:val="auto"/>
          <w:kern w:val="0"/>
          <w:szCs w:val="21"/>
        </w:rPr>
        <w:t>紧</w:t>
      </w:r>
      <w:r>
        <w:rPr>
          <w:rFonts w:hint="eastAsia" w:hAnsi="Verdana"/>
          <w:color w:val="auto"/>
          <w:kern w:val="0"/>
          <w:szCs w:val="21"/>
        </w:rPr>
        <w:t>密</w:t>
      </w:r>
      <w:r>
        <w:rPr>
          <w:rFonts w:hAnsi="Verdana"/>
          <w:color w:val="auto"/>
          <w:kern w:val="0"/>
          <w:szCs w:val="21"/>
        </w:rPr>
        <w:t>联系临床实际，循序渐进</w:t>
      </w:r>
      <w:r>
        <w:rPr>
          <w:rFonts w:hint="eastAsia" w:hAnsi="Verdana"/>
          <w:color w:val="auto"/>
          <w:kern w:val="0"/>
          <w:szCs w:val="21"/>
        </w:rPr>
        <w:t>、</w:t>
      </w:r>
      <w:r>
        <w:rPr>
          <w:rFonts w:hAnsi="Verdana"/>
          <w:color w:val="auto"/>
          <w:kern w:val="0"/>
          <w:szCs w:val="21"/>
        </w:rPr>
        <w:t>由浅入深地讲课与示教，着重培养学生独立思考</w:t>
      </w:r>
      <w:r>
        <w:rPr>
          <w:rFonts w:hint="eastAsia" w:hAnsi="Verdana"/>
          <w:color w:val="auto"/>
          <w:kern w:val="0"/>
          <w:szCs w:val="21"/>
        </w:rPr>
        <w:t>、</w:t>
      </w:r>
      <w:r>
        <w:rPr>
          <w:rFonts w:hAnsi="Verdana"/>
          <w:color w:val="auto"/>
          <w:kern w:val="0"/>
          <w:szCs w:val="21"/>
        </w:rPr>
        <w:t>联系实际的工作能力</w:t>
      </w:r>
      <w:r>
        <w:rPr>
          <w:rFonts w:hint="eastAsia" w:hAnsi="Verdana"/>
          <w:color w:val="auto"/>
          <w:kern w:val="0"/>
          <w:szCs w:val="21"/>
        </w:rPr>
        <w:t>，</w:t>
      </w:r>
      <w:r>
        <w:rPr>
          <w:rFonts w:hAnsi="Verdana"/>
          <w:color w:val="auto"/>
          <w:kern w:val="0"/>
          <w:szCs w:val="21"/>
        </w:rPr>
        <w:t>为从事神经</w:t>
      </w:r>
      <w:r>
        <w:rPr>
          <w:rFonts w:hint="eastAsia" w:hAnsi="Verdana"/>
          <w:color w:val="auto"/>
          <w:kern w:val="0"/>
          <w:szCs w:val="21"/>
        </w:rPr>
        <w:t>内</w:t>
      </w:r>
      <w:r>
        <w:rPr>
          <w:rFonts w:hAnsi="Verdana"/>
          <w:color w:val="auto"/>
          <w:kern w:val="0"/>
          <w:szCs w:val="21"/>
        </w:rPr>
        <w:t>科工作奠定基础，并为学习其他临床医学学科，特别是与神经内科关系密切的临床学科的学习提供理论与实践基础。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Bidi"/>
          <w:b/>
          <w:sz w:val="24"/>
        </w:rPr>
      </w:pPr>
      <w:r>
        <w:rPr>
          <w:rFonts w:hint="eastAsia" w:asciiTheme="minorHAnsi" w:hAnsiTheme="minorHAnsi" w:eastAsiaTheme="minorEastAsia" w:cstheme="minorBidi"/>
          <w:b/>
          <w:sz w:val="24"/>
        </w:rPr>
        <w:t>考核要点</w:t>
      </w:r>
    </w:p>
    <w:tbl>
      <w:tblPr>
        <w:tblStyle w:val="5"/>
        <w:tblW w:w="975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828"/>
        <w:gridCol w:w="5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单元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细目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第一章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绪论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1.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神经病学的概念和范畴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神经病学的概念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2.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神经病学的特性及医学生的学习目标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（1）神经病学的特性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（2）神经病学的目标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3.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神经病学的实践现状及发展趋势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神经病学的实践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及发展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第二章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神经系统的解剖、生理及病损的定位诊断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1.中枢神经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（1）大脑半球的解剖结构及生理功能、病损表现及定位诊断；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（2）内囊的解剖结构及生理功能、病损表现及定位诊断；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（3）基底神经节的解剖结构及生理功能、病损表现及定位诊断；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（4）间脑的解剖结构及生理功能、病损表现及定位诊断；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（5）脑干的解剖结构及生理功能、病损表现及定位诊断；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（6）小脑的解剖结构及生理功能、病损表现及定位诊断；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（7）脊髓的解剖结构及生理功能、病损表现及定位诊断。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2.脑与脊髓的血管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（1）脑动脉的解剖结构及生理功能、病损表现及定位诊断；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（2）脑静脉的解剖结构及生理功能、病损表现及定位诊断；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（3）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脊髓血管的解剖结构及生理功能、病损表现及定位诊断。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3.脑神经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（1）脑神经的概念；</w:t>
            </w:r>
          </w:p>
          <w:p>
            <w:pPr>
              <w:spacing w:line="240" w:lineRule="auto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（2）嗅神经的解剖结构及生理功能、病损表现及定位诊断；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（3）视神经的解剖结构及生理功能、病损表现及定位诊断；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（4）动眼神经的解剖结构及生理功能、病损表现及定位诊断；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（5）滑车神经的解剖结构及生理功能、病损表现及定位诊断；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（6）三叉神经的解剖结构及生理功能、病损表现及定位诊断；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（7）展神经的解剖结构及生理功能、病损表现及定位诊断；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（8）面神经的解剖结构及生理功能、病损表现及定位诊断；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（9）前庭蜗神经的解剖结构及生理功能、病损表现及定位诊断；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（10）舌咽神经的解剖结构及生理功能、病损表现及定位诊断；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（11）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迷走神经的解剖结构及生理功能、病损表现及定位诊断；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（12）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副神经的解剖结构及生理功能、病损表现及定位诊断；</w:t>
            </w:r>
          </w:p>
          <w:p>
            <w:pPr>
              <w:spacing w:line="240" w:lineRule="auto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（13）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舌下神经的解剖结构及生理功能、病损表现及定位诊断；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（14）不同部位眼肌损害的临床表现及定位诊断。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4.周围神经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（1）脊神经的解剖结构及生理功能、病损表现及定位诊断；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（2）自主神经的解剖结构及生理功能、病损表现及定位诊断；</w:t>
            </w:r>
          </w:p>
          <w:p>
            <w:pPr>
              <w:spacing w:line="240" w:lineRule="auto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（3）周围神经损伤的病理类型；</w:t>
            </w:r>
          </w:p>
          <w:p>
            <w:pPr>
              <w:spacing w:line="240" w:lineRule="auto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（4）周围神经的概念。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5.肌肉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（1）肌肉的解剖结构及生理功能；</w:t>
            </w:r>
          </w:p>
          <w:p>
            <w:pPr>
              <w:spacing w:line="240" w:lineRule="auto"/>
              <w:rPr>
                <w:rFonts w:hint="eastAsia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（2）肌肉病损表现及定位诊断。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Times New Roman" w:eastAsia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宋体"/>
                <w:bCs w:val="0"/>
                <w:color w:val="auto"/>
                <w:sz w:val="21"/>
                <w:szCs w:val="21"/>
                <w:highlight w:val="none"/>
              </w:rPr>
              <w:t>（3）</w:t>
            </w:r>
            <w:r>
              <w:rPr>
                <w:rFonts w:ascii="Times New Roman" w:eastAsia="宋体"/>
                <w:bCs w:val="0"/>
                <w:color w:val="auto"/>
                <w:sz w:val="21"/>
                <w:szCs w:val="21"/>
                <w:highlight w:val="none"/>
              </w:rPr>
              <w:t>面肌瘫痪</w:t>
            </w:r>
            <w:r>
              <w:rPr>
                <w:rFonts w:hint="eastAsia" w:ascii="Times New Roman" w:eastAsia="宋体"/>
                <w:bCs w:val="0"/>
                <w:color w:val="auto"/>
                <w:sz w:val="21"/>
                <w:szCs w:val="21"/>
                <w:highlight w:val="none"/>
              </w:rPr>
              <w:t>的分型及临床表现。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6.运动系统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（1）上运动神经元瘫痪解剖生理、临床表现、定位诊断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（2）下运动神经元瘫痪解剖生理、临床表现、定位诊断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（3）锥体外系损害的临床表现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（4）小脑损害的临床表现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（5）运动系统的概念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（6）锥体外系的解剖结构及生理功能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7.感觉系统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（1）浅感觉解剖生理、临床表现、定位诊断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（2）深感觉解剖生理、临床表现、定位诊断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8.反射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（1）反射的解剖结构及生理功能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（2）反射改变的病损表现及定位诊断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第八章  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头痛</w:t>
            </w:r>
          </w:p>
        </w:tc>
        <w:tc>
          <w:tcPr>
            <w:tcW w:w="1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1.偏头痛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（1）偏头痛的概念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）偏头痛的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病因和发病机制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）偏头痛的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分型与临床表现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）偏头痛的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诊断及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）偏头痛的治疗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第九章  脑血管病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1.脑血管疾病的分类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default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脑血管疾病的分类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（2）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缺血性脑卒中病因分型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2.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短暂性脑缺血发作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（1）短暂性脑缺血发作的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概念</w:t>
            </w:r>
          </w:p>
          <w:p>
            <w:pPr>
              <w:spacing w:line="240" w:lineRule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）短暂性脑缺血发作的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病因和发病机制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）短暂性脑缺血发作的临床表现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颈内动脉系统TIA的临床表现</w:t>
            </w:r>
          </w:p>
          <w:p>
            <w:pPr>
              <w:spacing w:line="240" w:lineRule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椎基底动脉系统TIA的临床表现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）短暂性脑缺血发作的诊断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）短暂性脑缺血发作的鉴别诊断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）短暂性脑缺血发作的治疗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3.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脑梗死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（1）大动脉粥样硬化型脑梗死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概念、病因发病机制、病理、临床表现、辅助检查、诊断及鉴别诊断、治疗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（2）心源性脑栓塞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概念、病因发病机制、临床表现、辅助检查、诊断及鉴别诊断、治疗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（3）小动脉闭塞型脑梗死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概念、病因发病机制、临床表现、辅助检查、诊断及鉴别诊断、治疗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4.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脑出血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（1）脑出血的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概念</w:t>
            </w:r>
          </w:p>
          <w:p>
            <w:pPr>
              <w:spacing w:line="240" w:lineRule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）脑出血的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病因和发病机制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）脑出血的临床表现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）脑出血的诊断与鉴别诊断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脑出血的急性期治疗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脑出血的手术适应证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5.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蛛网膜下腔出血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蛛网膜下腔出血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概念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蛛网膜下腔出血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的临床表现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蛛网膜下腔出血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的诊断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蛛网膜下腔出血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的鉴别诊断</w:t>
            </w:r>
          </w:p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蛛网膜下腔出血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8.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颅内静脉窦及脑静脉血栓形成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颅内静脉窦及脑静脉血栓形成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的概念</w:t>
            </w:r>
          </w:p>
          <w:p>
            <w:pPr>
              <w:spacing w:line="240" w:lineRule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颅内静脉窦及脑静脉血栓形成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的流行病学</w:t>
            </w:r>
          </w:p>
          <w:p>
            <w:pPr>
              <w:spacing w:line="240" w:lineRule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3）</w:t>
            </w:r>
            <w:r>
              <w:rPr>
                <w:rFonts w:hint="default" w:ascii="宋体" w:hAnsi="宋体"/>
                <w:color w:val="auto"/>
                <w:szCs w:val="21"/>
                <w:highlight w:val="none"/>
              </w:rPr>
              <w:t>颅内静脉窦及脑静脉血栓形成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的病因和发病机制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第十一章  神经系统变性病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阿尔兹海默病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阿尔兹海默病的概念</w:t>
            </w:r>
          </w:p>
          <w:p>
            <w:pPr>
              <w:spacing w:line="240" w:lineRule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（2）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阿尔兹海默病的病因与发病机制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阿尔兹海默病的病理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阿尔兹海默病的临床表现</w:t>
            </w:r>
          </w:p>
          <w:p>
            <w:pPr>
              <w:spacing w:line="240" w:lineRule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阿尔兹海默病的辅助检查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阿尔兹海默病的诊断与鉴别诊断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阿尔兹海默病的治疗</w:t>
            </w:r>
          </w:p>
          <w:p>
            <w:pPr>
              <w:spacing w:line="240" w:lineRule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Times New Roman"/>
                <w:color w:val="auto"/>
                <w:szCs w:val="21"/>
                <w:highlight w:val="none"/>
              </w:rPr>
              <w:t>运动障碍性疾病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1.概述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</w:rPr>
              <w:t>运动障碍疾病的概念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2）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</w:rPr>
              <w:t>基底节及其神经环路、诊断路径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cs="Times New Roman"/>
                <w:color w:val="auto"/>
                <w:szCs w:val="21"/>
                <w:highlight w:val="none"/>
              </w:rPr>
              <w:t>帕金森病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帕金森病的概念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帕金森病的病因、病理、发病机制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帕金森病的临床表现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4）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帕金森病的辅助检查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帕金森病的诊断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帕金森病的鉴别诊断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帕金森病的治疗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第十六章  脊髓疾病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1.概述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脊髓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解剖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脊髓损害的定位、定性诊断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cs="Times New Roman"/>
                <w:color w:val="auto"/>
                <w:szCs w:val="21"/>
                <w:highlight w:val="none"/>
              </w:rPr>
              <w:t>脊髓压迫症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脊髓压迫症的概念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脊髓压迫症的病因及发病机制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脊髓压迫症的临床表现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脊髓压迫症的辅助检查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脊髓压迫症的诊断及鉴别诊断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脊髓压迫症的治疗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3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十七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 xml:space="preserve">章  </w:t>
            </w:r>
            <w:r>
              <w:rPr>
                <w:rFonts w:ascii="Verdana" w:hAnsi="Verdana" w:eastAsia="Verdana" w:cs="Verdana"/>
                <w:color w:val="auto"/>
                <w:szCs w:val="21"/>
                <w:highlight w:val="none"/>
                <w:shd w:val="clear" w:color="auto" w:fill="FFFFFF"/>
              </w:rPr>
              <w:t>周围神经疾病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1.</w:t>
            </w:r>
            <w:r>
              <w:rPr>
                <w:rFonts w:ascii="Verdana" w:hAnsi="Verdana" w:eastAsia="Verdana" w:cs="Verdana"/>
                <w:color w:val="auto"/>
                <w:szCs w:val="21"/>
                <w:highlight w:val="none"/>
                <w:shd w:val="clear" w:color="auto" w:fill="FFFFFF"/>
              </w:rPr>
              <w:t>脑神经疾病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（1）</w:t>
            </w:r>
            <w:r>
              <w:rPr>
                <w:rFonts w:hint="eastAsia"/>
                <w:color w:val="auto"/>
                <w:szCs w:val="21"/>
                <w:highlight w:val="none"/>
              </w:rPr>
              <w:t>三叉神经痛的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概念</w:t>
            </w:r>
          </w:p>
          <w:p>
            <w:pPr>
              <w:spacing w:line="240" w:lineRule="auto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三叉神经痛的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病因和发病机制</w:t>
            </w:r>
          </w:p>
          <w:p>
            <w:pPr>
              <w:spacing w:line="240" w:lineRule="auto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三叉神经痛的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病理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三叉神经痛的临床表现</w:t>
            </w:r>
          </w:p>
          <w:p>
            <w:pPr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三叉神经痛的诊断</w:t>
            </w:r>
          </w:p>
          <w:p>
            <w:pPr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三叉神经痛的鉴别诊断</w:t>
            </w:r>
          </w:p>
          <w:p>
            <w:pPr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三叉神经痛的治疗</w:t>
            </w:r>
          </w:p>
          <w:p>
            <w:pPr>
              <w:spacing w:line="24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特发性面神经麻痹的概念</w:t>
            </w:r>
          </w:p>
          <w:p>
            <w:pPr>
              <w:spacing w:line="240" w:lineRule="auto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特发性面神经麻痹的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病因和病理</w:t>
            </w:r>
          </w:p>
          <w:p>
            <w:pPr>
              <w:spacing w:line="240" w:lineRule="auto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特发性面神经麻痹的临床表现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特发性面神经麻痹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治疗</w:t>
            </w:r>
            <w:r>
              <w:rPr>
                <w:rFonts w:hint="eastAsia"/>
                <w:color w:val="auto"/>
                <w:szCs w:val="21"/>
                <w:highlight w:val="none"/>
              </w:rPr>
              <w:t>和预后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2.</w:t>
            </w:r>
            <w:r>
              <w:rPr>
                <w:rFonts w:ascii="Verdana" w:hAnsi="Verdana" w:eastAsia="Verdana" w:cs="Verdana"/>
                <w:color w:val="auto"/>
                <w:szCs w:val="21"/>
                <w:highlight w:val="none"/>
                <w:shd w:val="clear" w:color="auto" w:fill="FFFFFF"/>
              </w:rPr>
              <w:t>脊神经疾病</w:t>
            </w:r>
          </w:p>
        </w:tc>
        <w:tc>
          <w:tcPr>
            <w:tcW w:w="5627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GBS的概念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GBS的病因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和发病机制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GBS的病因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和病理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left="720" w:leftChars="0" w:hanging="720" w:firstLineChars="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GBS的临床表现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left="720" w:leftChars="0" w:hanging="720" w:firstLineChars="0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GBS的临床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分型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left="720" w:leftChars="0" w:hanging="720" w:firstLineChars="0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GBS的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辅助检查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GBS的诊断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和鉴别诊断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left="720" w:leftChars="0" w:hanging="720" w:firstLineChars="0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GBS治疗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和预后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急性炎症性脱髓鞘性多发性神经病的临床表现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Bid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Bidi"/>
          <w:b/>
          <w:sz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</w:rPr>
        <w:t>三、考试形式、内容、比重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日常考勤</w:t>
      </w:r>
      <w:r>
        <w:rPr>
          <w:rFonts w:hint="eastAsia" w:asciiTheme="minorEastAsia" w:hAnsiTheme="minorEastAsia" w:eastAsiaTheme="minorEastAsia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占总成绩5%。采取随堂点名、提问、班长统计等方式。包括课堂出勤、纪律、表现三个方面。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（二）平时考核：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占总成绩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包括神经系统查体和书写首次病程记录。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（三）期中考核：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占总成绩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%。利用雨课堂教学软件，采取一次性集中闭卷笔试形式。题型客观试题，题量100道题。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  <w:t>（四）期末考试：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占总成绩60%。考试题型、题量、分值；考核认知层次为记忆性占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%，理解性占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%，应用性占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%。</w:t>
      </w:r>
    </w:p>
    <w:tbl>
      <w:tblPr>
        <w:tblStyle w:val="5"/>
        <w:tblW w:w="8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302"/>
        <w:gridCol w:w="1303"/>
        <w:gridCol w:w="1303"/>
        <w:gridCol w:w="905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371" w:type="dxa"/>
            <w:gridSpan w:val="4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试卷构成</w:t>
            </w:r>
          </w:p>
        </w:tc>
        <w:tc>
          <w:tcPr>
            <w:tcW w:w="2717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6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13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总分值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试题数量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每题分值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记忆性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理解性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6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选择题（单）</w:t>
            </w:r>
          </w:p>
        </w:tc>
        <w:tc>
          <w:tcPr>
            <w:tcW w:w="13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90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906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6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名词解释</w:t>
            </w:r>
          </w:p>
        </w:tc>
        <w:tc>
          <w:tcPr>
            <w:tcW w:w="13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5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90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90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6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问答题</w:t>
            </w:r>
          </w:p>
        </w:tc>
        <w:tc>
          <w:tcPr>
            <w:tcW w:w="13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5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90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90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  <w:jc w:val="center"/>
        </w:trPr>
        <w:tc>
          <w:tcPr>
            <w:tcW w:w="146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综合题</w:t>
            </w:r>
          </w:p>
        </w:tc>
        <w:tc>
          <w:tcPr>
            <w:tcW w:w="13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5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90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90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Theme="minorEastAsia" w:hAnsiTheme="minorEastAsia" w:eastAsiaTheme="minorEastAsia" w:cstheme="minorBidi"/>
          <w:szCs w:val="21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四、考核时间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（一）日常考勤：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随堂检查或随机抽查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（二）平时考核：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见习课随堂考核。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（三）期中考核：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第10教学周结束后利用休息日进行。时间1小时。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（四）期末考核：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按学校期末考试时间总体编排在假前2周内完成。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Bid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五、成绩评定方式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（一）课程总成绩=日常考勤（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%）+平时考核（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%）+期中考核（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%）+期末考核（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%）。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（二）期末考试成绩和课程总成绩均达到60分及以上为合格。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（三）期末考试不合格或总成绩不合格均按该门课程不合格认定，需参加期末补考。补考后仍不合格者需重修该课程后参加重修考试。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Bid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六、其他要求</w:t>
      </w:r>
    </w:p>
    <w:p>
      <w:pPr>
        <w:spacing w:line="360" w:lineRule="auto"/>
      </w:pPr>
      <w:r>
        <w:rPr>
          <w:rFonts w:hint="eastAsia" w:asciiTheme="minorEastAsia" w:hAnsiTheme="minorEastAsia" w:eastAsiaTheme="minorEastAsia" w:cstheme="minorBidi"/>
          <w:b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Bidi"/>
          <w:b w:val="0"/>
          <w:bCs/>
          <w:sz w:val="21"/>
          <w:szCs w:val="21"/>
          <w:lang w:val="en-US" w:eastAsia="zh-CN"/>
        </w:rPr>
        <w:t xml:space="preserve">  无。</w:t>
      </w:r>
    </w:p>
    <w:sectPr>
      <w:pgSz w:w="11906" w:h="16838"/>
      <w:pgMar w:top="1440" w:right="1274" w:bottom="1440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A75B0E"/>
    <w:multiLevelType w:val="singleLevel"/>
    <w:tmpl w:val="F2A75B0E"/>
    <w:lvl w:ilvl="0" w:tentative="0">
      <w:start w:val="1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8E25FFC"/>
    <w:multiLevelType w:val="singleLevel"/>
    <w:tmpl w:val="F8E25FFC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185E08EC"/>
    <w:multiLevelType w:val="multilevel"/>
    <w:tmpl w:val="185E08E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56A8A"/>
    <w:rsid w:val="098B4DA2"/>
    <w:rsid w:val="0A6E6B61"/>
    <w:rsid w:val="160D4418"/>
    <w:rsid w:val="1F756A8A"/>
    <w:rsid w:val="258C75D7"/>
    <w:rsid w:val="267B533F"/>
    <w:rsid w:val="28F336DD"/>
    <w:rsid w:val="70671A75"/>
    <w:rsid w:val="715F284A"/>
    <w:rsid w:val="79765ADA"/>
    <w:rsid w:val="7D885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exact"/>
      <w:ind w:firstLine="640" w:firstLineChars="200"/>
    </w:pPr>
    <w:rPr>
      <w:rFonts w:ascii="仿宋_GB2312" w:eastAsia="仿宋_GB2312"/>
      <w:bCs/>
      <w:sz w:val="32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样式4"/>
    <w:basedOn w:val="1"/>
    <w:qFormat/>
    <w:uiPriority w:val="0"/>
    <w:pPr>
      <w:spacing w:line="360" w:lineRule="exact"/>
      <w:ind w:firstLine="200" w:firstLineChars="200"/>
    </w:pPr>
    <w:rPr>
      <w:rFonts w:ascii="仿宋_GB2312" w:hAnsi="Calibri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2021-01-21T08:02:00Z</dcterms:created>
  <dc:creator>1416830012</dc:creator>
  <cp:lastModifiedBy>刘强</cp:lastModifiedBy>
  <dcterms:modified xsi:type="dcterms:W3CDTF">2021-03-16T06:19:09Z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